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9A351F" w:rsidRPr="009A351F">
        <w:rPr>
          <w:rFonts w:ascii="Times New Roman CYR" w:hAnsi="Times New Roman CYR"/>
          <w:szCs w:val="28"/>
        </w:rPr>
        <w:t>ПРАВОВОЕ РЕГУЛИРОВАНИЕ ПРОФЕССИОНАЛЬНОЙ ДЕЯТЕЛЬНОСТИ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9A351F" w:rsidRPr="009A351F">
        <w:rPr>
          <w:rFonts w:ascii="Times New Roman CYR" w:hAnsi="Times New Roman CYR"/>
          <w:lang w:eastAsia="ru-RU"/>
        </w:rPr>
        <w:t>Правовое регулирование профессиональной деятельности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7964F6">
        <w:rPr>
          <w:rFonts w:ascii="Times New Roman CYR" w:hAnsi="Times New Roman CYR"/>
          <w:szCs w:val="23"/>
          <w:lang w:eastAsia="ru-RU"/>
        </w:rPr>
        <w:t>8</w:t>
      </w:r>
      <w:bookmarkStart w:id="0" w:name="_GoBack"/>
      <w:bookmarkEnd w:id="0"/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9A351F">
      <w:pPr>
        <w:spacing w:line="288" w:lineRule="auto"/>
        <w:ind w:firstLine="0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</w:t>
      </w:r>
      <w:r w:rsidRPr="001524A0">
        <w:rPr>
          <w:szCs w:val="28"/>
        </w:rPr>
        <w:lastRenderedPageBreak/>
        <w:t xml:space="preserve">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4A714C" w:rsidRPr="001524A0" w:rsidRDefault="004A714C" w:rsidP="004A714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1. Понятие, предмет, содержание и субъекты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 xml:space="preserve">2. </w:t>
      </w:r>
      <w:proofErr w:type="spellStart"/>
      <w:r w:rsidRPr="00E13188">
        <w:rPr>
          <w:szCs w:val="28"/>
        </w:rPr>
        <w:t>Историко</w:t>
      </w:r>
      <w:proofErr w:type="spellEnd"/>
      <w:r w:rsidRPr="00E13188">
        <w:rPr>
          <w:szCs w:val="28"/>
        </w:rPr>
        <w:t xml:space="preserve"> - правовой аспект реформ России в свете обеспечения экономической  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3. Развитие экономики «Государственная стратегия экономической безопасности РФ»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4. Критерии и специфика обеспечения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5. Внутренние угрозы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6. Экономическая безопасность и кризисные явления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7. Органы внешней разведки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8. Органы федеральной таможенной службы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9. Федеральная служба безопасности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10. Министерство внутренних дел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11. Основные понятия, основные черты и классификация правоохранительных органов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12. Правоохранительная деятельность и ее организационно-правовые формы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13. Основные направления деятельности правоохранительных органов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по обеспечению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14. Общие положения деятельности органов внутренн</w:t>
      </w:r>
      <w:r>
        <w:rPr>
          <w:szCs w:val="28"/>
        </w:rPr>
        <w:t>их дел по обеспечению экономиче</w:t>
      </w:r>
      <w:r w:rsidRPr="00E13188">
        <w:rPr>
          <w:szCs w:val="28"/>
        </w:rPr>
        <w:t>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15. Деятельность следственных аппаратов органов внутренних дел по расследованию  экономических преступлений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16. Особенности деятельности органов ФСБ по обес</w:t>
      </w:r>
      <w:r>
        <w:rPr>
          <w:szCs w:val="28"/>
        </w:rPr>
        <w:t>печению экономической безопасно</w:t>
      </w:r>
      <w:r w:rsidRPr="00E13188">
        <w:rPr>
          <w:szCs w:val="28"/>
        </w:rPr>
        <w:t>сти и борьбы с наиболее опасными преступлениями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lastRenderedPageBreak/>
        <w:t>17. Перспективные направления в деятельности органов ФСБ по               обеспечению экономической России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18. Органы государственного таможенного Комитета как субъекты предупреждения и раскрытия экономических преступлений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 xml:space="preserve">19. Органы служебной внешней разведки РФ и иные </w:t>
      </w:r>
      <w:r>
        <w:rPr>
          <w:szCs w:val="28"/>
        </w:rPr>
        <w:t>субъекты выявления, предупрежде</w:t>
      </w:r>
      <w:r w:rsidRPr="00E13188">
        <w:rPr>
          <w:szCs w:val="28"/>
        </w:rPr>
        <w:t>ния и раскрытия   экономических преступлений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 xml:space="preserve">20. Основные понятия и сущность взаимодействия правоохранительных органов </w:t>
      </w:r>
      <w:proofErr w:type="gramStart"/>
      <w:r w:rsidRPr="00E13188">
        <w:rPr>
          <w:szCs w:val="28"/>
        </w:rPr>
        <w:t>в</w:t>
      </w:r>
      <w:proofErr w:type="gramEnd"/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сфере борьбы с экономическими преступлениями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 xml:space="preserve">21. Основные критерии осуществления и взаимодействия </w:t>
      </w:r>
      <w:proofErr w:type="gramStart"/>
      <w:r w:rsidRPr="00E13188">
        <w:rPr>
          <w:szCs w:val="28"/>
        </w:rPr>
        <w:t>правоохранительных</w:t>
      </w:r>
      <w:proofErr w:type="gramEnd"/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органов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22. Основные формы и направления   взаимодействия правоохранительных органов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в борьбе с экономическими преступлениями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23. Особенности деятельности правоохранительных о</w:t>
      </w:r>
      <w:r>
        <w:rPr>
          <w:szCs w:val="28"/>
        </w:rPr>
        <w:t>рганов по обеспечению экономиче</w:t>
      </w:r>
      <w:r w:rsidRPr="00E13188">
        <w:rPr>
          <w:szCs w:val="28"/>
        </w:rPr>
        <w:t>ской безопасности на уровне федерального округа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24. Основные направления деятельности правоохранительных органов  по обеспечению экономической безопасности в федеральном округе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25. Основные направления и принципы осуществл</w:t>
      </w:r>
      <w:r>
        <w:rPr>
          <w:szCs w:val="28"/>
        </w:rPr>
        <w:t>ения взаимодействия правоохрани</w:t>
      </w:r>
      <w:r w:rsidRPr="00E13188">
        <w:rPr>
          <w:szCs w:val="28"/>
        </w:rPr>
        <w:t>тельных органов на уровне федеральных округов в сфере обеспечения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26. Критерии и показатели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27. Показатели финансовой 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28. Признаки несостоятельности (банкротства)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29. Основные понятия и сущность деятельности  негосударственных правоохранительных структур – субъектов обеспечении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lastRenderedPageBreak/>
        <w:t>30. Основные направления деятельности служб безопасности юридических лиц и частных детективных организаций в сфере обеспечения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31. Личность как биосоциальная система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32. Экономическая безопасность личности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33. Методы системного анализа при решени</w:t>
      </w:r>
      <w:r>
        <w:rPr>
          <w:szCs w:val="28"/>
        </w:rPr>
        <w:t>и проблем экономической безопас</w:t>
      </w:r>
      <w:r w:rsidRPr="00E13188">
        <w:rPr>
          <w:szCs w:val="28"/>
        </w:rPr>
        <w:t>ности личности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34. Роль налоговой  безопасности в системе национальной и экономической безопасности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35. Общая характеристика налоговых органов, обеспечивающих эк</w:t>
      </w:r>
      <w:r>
        <w:rPr>
          <w:szCs w:val="28"/>
        </w:rPr>
        <w:t>ономическую, безо</w:t>
      </w:r>
      <w:r w:rsidRPr="00E13188">
        <w:rPr>
          <w:szCs w:val="28"/>
        </w:rPr>
        <w:t>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36. Система налоговых органов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37. Правовые основы деятельности налоговых органов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38. Правовые основы легализации денежных средств, добытых незаконным путем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39. Правовые основы борьбы с легализацией незаконно приобретенного капитала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40. Правовые основы законодательных мер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 xml:space="preserve">41. Статьи УК РФ,   предусматривающие  уголовную ответственность </w:t>
      </w:r>
      <w:proofErr w:type="gramStart"/>
      <w:r w:rsidRPr="00E13188">
        <w:rPr>
          <w:szCs w:val="28"/>
        </w:rPr>
        <w:t>за</w:t>
      </w:r>
      <w:proofErr w:type="gramEnd"/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незаконную легализацию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42. Идентификация незаконной легализации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43. Правовые вопросы международного сотрудничества при расследовании легализации «отмывания» доходов, приобретенных незаконным путем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44. Конвенция Глав государств СНГ о правовой помощи и правовых отношениях при расследовании легализации «отмывания» доходов, приобретенных незаконным путем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45. Понятие и характеристика экономических преступлений и правонарушений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lastRenderedPageBreak/>
        <w:t>46. Основы предупреждения экономических преступлений и правонарушений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47. Общие положения и правовые аспекты расследования экономических  преступлений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48. Система государственного и муниципального управления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49. Документоведение, деловой документооборот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50. Экономическая криминология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51. экономическая безопасность, инвестирование и анализ инвестиционных проектов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52. Экспертиза гражданско-правовых договоров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53. Финансовый менеджмент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54. Выявление и противодействие экономическим преступлениям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55. Обеспечение экономической безопасности на предприятии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56. Управление государственными (</w:t>
      </w:r>
      <w:proofErr w:type="gramStart"/>
      <w:r w:rsidRPr="00E13188">
        <w:rPr>
          <w:szCs w:val="28"/>
        </w:rPr>
        <w:t>муниципальным</w:t>
      </w:r>
      <w:proofErr w:type="gramEnd"/>
      <w:r w:rsidRPr="00E13188">
        <w:rPr>
          <w:szCs w:val="28"/>
        </w:rPr>
        <w:t>) закупкам</w:t>
      </w:r>
      <w:r>
        <w:rPr>
          <w:szCs w:val="28"/>
        </w:rPr>
        <w:t>и и экономическая безо</w:t>
      </w:r>
      <w:r w:rsidRPr="00E13188">
        <w:rPr>
          <w:szCs w:val="28"/>
        </w:rPr>
        <w:t>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57. Организация диагностики и мониторинга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58. Управление персоналом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59. Экономическая безопасность в финансовой сфере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60. Антикризисное управление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61. Экономико-правовое регулирование банкротства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62. Правовое обеспечение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63. Стратегические аспекты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64. Управленческое консультирование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65. Финансово-бюджетный механизм регулирования национальной экономики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66. Государственная политика обеспечения экономической безопасности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lastRenderedPageBreak/>
        <w:t>67. Экономическая безопасность: содержание; составные элементы; стратегия; формы и методы ее обеспечения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68. Контрактная система в сфере закупок товаров, работ</w:t>
      </w:r>
      <w:r>
        <w:rPr>
          <w:szCs w:val="28"/>
        </w:rPr>
        <w:t>, услуг для обеспечения государ</w:t>
      </w:r>
      <w:r w:rsidRPr="00E13188">
        <w:rPr>
          <w:szCs w:val="28"/>
        </w:rPr>
        <w:t>ственных и муниципальных нужд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69. Государственная стратегия экономической безопасности РФ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70. Административное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71. Гражданское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72. Трудовое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73. Предпринимательское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74. Коммерческое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 xml:space="preserve">75. Правовое регулирование </w:t>
      </w:r>
      <w:proofErr w:type="gramStart"/>
      <w:r w:rsidRPr="00E13188">
        <w:rPr>
          <w:szCs w:val="28"/>
        </w:rPr>
        <w:t>внешне-экономической</w:t>
      </w:r>
      <w:proofErr w:type="gramEnd"/>
      <w:r w:rsidRPr="00E13188">
        <w:rPr>
          <w:szCs w:val="28"/>
        </w:rPr>
        <w:t xml:space="preserve"> де</w:t>
      </w:r>
      <w:r>
        <w:rPr>
          <w:szCs w:val="28"/>
        </w:rPr>
        <w:t>ятельности и экономическая безо</w:t>
      </w:r>
      <w:r w:rsidRPr="00E13188">
        <w:rPr>
          <w:szCs w:val="28"/>
        </w:rPr>
        <w:t>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76. Финансовое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77. Налоговое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78. Уголовное право и экономическая безопасность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79. Правовое регулирование расчетных и кредитных отношений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80. Правовое регулирование внешнеторговых отношений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81. Взаимоотношения субъектов профессиональной де</w:t>
      </w:r>
      <w:r>
        <w:rPr>
          <w:szCs w:val="28"/>
        </w:rPr>
        <w:t>ятельности с органами государст</w:t>
      </w:r>
      <w:r w:rsidRPr="00E13188">
        <w:rPr>
          <w:szCs w:val="28"/>
        </w:rPr>
        <w:t>венной власти и управления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82. Правовое регулирование защиты интересов субъе</w:t>
      </w:r>
      <w:r>
        <w:rPr>
          <w:szCs w:val="28"/>
        </w:rPr>
        <w:t>ктов профессиональной деятельно</w:t>
      </w:r>
      <w:r w:rsidRPr="00E13188">
        <w:rPr>
          <w:szCs w:val="28"/>
        </w:rPr>
        <w:t>сти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83. Правовое обеспечение организационной и кадровой работы на предприятии</w:t>
      </w:r>
    </w:p>
    <w:p w:rsidR="00C65F5F" w:rsidRPr="00E13188" w:rsidRDefault="00C65F5F" w:rsidP="00C65F5F">
      <w:pPr>
        <w:rPr>
          <w:szCs w:val="28"/>
        </w:rPr>
      </w:pPr>
      <w:r w:rsidRPr="00E13188">
        <w:rPr>
          <w:szCs w:val="28"/>
        </w:rPr>
        <w:t>84. Основные правовые акты в сфере экономической безопасности</w:t>
      </w:r>
    </w:p>
    <w:p w:rsidR="00AA4126" w:rsidRDefault="00AA4126" w:rsidP="004A714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1851"/>
        <w:gridCol w:w="3701"/>
        <w:gridCol w:w="2159"/>
        <w:gridCol w:w="1337"/>
      </w:tblGrid>
      <w:tr w:rsidR="00D547FB" w:rsidRPr="00827358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Pr="00827358">
              <w:rPr>
                <w:b/>
                <w:color w:val="000000"/>
                <w:sz w:val="19"/>
                <w:szCs w:val="19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D547FB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>
              <w:rPr>
                <w:b/>
                <w:color w:val="000000"/>
                <w:sz w:val="19"/>
                <w:szCs w:val="19"/>
              </w:rPr>
              <w:t>.1. Рекомендуемая литература</w:t>
            </w:r>
          </w:p>
        </w:tc>
      </w:tr>
      <w:tr w:rsidR="00D547FB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>
              <w:rPr>
                <w:b/>
                <w:color w:val="000000"/>
                <w:sz w:val="19"/>
                <w:szCs w:val="19"/>
              </w:rPr>
              <w:t>.1.1. Основная литература</w:t>
            </w:r>
          </w:p>
        </w:tc>
      </w:tr>
      <w:tr w:rsidR="00D547FB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547FB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 w:rsidRPr="00827358">
              <w:rPr>
                <w:color w:val="000000"/>
                <w:sz w:val="19"/>
                <w:szCs w:val="19"/>
              </w:rPr>
              <w:t>Сыдорук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И.И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.,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Ендольцева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А.В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Правоохранительные органы: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ЮНИТИ</w:t>
            </w:r>
            <w:proofErr w:type="spellEnd"/>
            <w:r>
              <w:rPr>
                <w:color w:val="000000"/>
                <w:sz w:val="19"/>
                <w:szCs w:val="19"/>
              </w:rPr>
              <w:t>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 w:rsidRPr="00827358">
              <w:rPr>
                <w:color w:val="000000"/>
                <w:sz w:val="19"/>
                <w:szCs w:val="19"/>
              </w:rPr>
              <w:t>Чупилкин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Юрий Борисович, Воронцов Сергей Алексеевич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Правоохранительные органы Российской Федерации: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 xml:space="preserve">Малько Александр Васильевич,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Субочев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Виталий Викторович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Правоведение: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>
              <w:rPr>
                <w:b/>
                <w:color w:val="000000"/>
                <w:sz w:val="19"/>
                <w:szCs w:val="19"/>
              </w:rPr>
              <w:t>.1.2. Дополнительная литература</w:t>
            </w:r>
          </w:p>
        </w:tc>
      </w:tr>
      <w:tr w:rsidR="00D547FB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547FB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 xml:space="preserve">Попов Михаил Васильевич,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Манохина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Надежда Васильевна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Экономическая безопасность: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827358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827358">
              <w:rPr>
                <w:color w:val="000000"/>
                <w:sz w:val="19"/>
                <w:szCs w:val="19"/>
              </w:rPr>
              <w:t xml:space="preserve"> издательский центр ИНФРА-М",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 w:rsidRPr="00827358">
              <w:rPr>
                <w:color w:val="000000"/>
                <w:sz w:val="19"/>
                <w:szCs w:val="19"/>
              </w:rPr>
              <w:t>Авдийский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Владимир Иванович,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Дадалко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Василий Александрович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Национальная и региональная экономическая безопасность России: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827358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827358">
              <w:rPr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Tr="00D24BF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 w:rsidRPr="00827358">
              <w:rPr>
                <w:color w:val="000000"/>
                <w:sz w:val="19"/>
                <w:szCs w:val="19"/>
              </w:rPr>
              <w:t>Кормишкина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Людмила Александровна,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Кормишкин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Евгений Данилович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Экономическая безопасность организации (предприятия):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Издательский Центр </w:t>
            </w:r>
            <w:proofErr w:type="spellStart"/>
            <w:r>
              <w:rPr>
                <w:color w:val="000000"/>
                <w:sz w:val="19"/>
                <w:szCs w:val="19"/>
              </w:rPr>
              <w:t>РИОР</w:t>
            </w:r>
            <w:proofErr w:type="spellEnd"/>
            <w:r>
              <w:rPr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>
              <w:rPr>
                <w:b/>
                <w:color w:val="000000"/>
                <w:sz w:val="19"/>
                <w:szCs w:val="19"/>
              </w:rPr>
              <w:t>.1.3. Методические разработки</w:t>
            </w:r>
          </w:p>
        </w:tc>
      </w:tr>
      <w:tr w:rsidR="00D547FB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547FB" w:rsidTr="00D24BF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827358">
              <w:rPr>
                <w:color w:val="000000"/>
                <w:sz w:val="19"/>
                <w:szCs w:val="19"/>
              </w:rPr>
              <w:t>.</w:t>
            </w:r>
            <w:proofErr w:type="gramEnd"/>
            <w:r w:rsidRPr="00827358"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827358">
              <w:rPr>
                <w:color w:val="000000"/>
                <w:sz w:val="19"/>
                <w:szCs w:val="19"/>
              </w:rPr>
              <w:t>у</w:t>
            </w:r>
            <w:proofErr w:type="gramEnd"/>
            <w:r w:rsidRPr="00827358">
              <w:rPr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 xml:space="preserve">Ростов н/Д.: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ИЦ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ДГТУ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D547FB" w:rsidRPr="00827358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7964F6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D547FB" w:rsidRPr="00827358">
              <w:rPr>
                <w:b/>
                <w:color w:val="000000"/>
                <w:sz w:val="19"/>
                <w:szCs w:val="19"/>
              </w:rPr>
              <w:t>.2. Перечень ресурсов информационно-телекоммуникационной сети "Интернет"</w:t>
            </w:r>
          </w:p>
        </w:tc>
      </w:tr>
      <w:tr w:rsidR="00D547FB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color w:val="000000"/>
                <w:sz w:val="19"/>
                <w:szCs w:val="19"/>
              </w:rPr>
              <w:t>»</w:t>
            </w:r>
          </w:p>
        </w:tc>
      </w:tr>
      <w:tr w:rsidR="00D547FB" w:rsidRPr="00827358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 w:rsidRPr="00827358">
              <w:rPr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biblioclub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 xml:space="preserve">», "Университетская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online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>"</w:t>
            </w:r>
          </w:p>
        </w:tc>
      </w:tr>
      <w:tr w:rsidR="00D547FB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znanium</w:t>
            </w:r>
            <w:proofErr w:type="spellEnd"/>
            <w:r>
              <w:rPr>
                <w:color w:val="000000"/>
                <w:sz w:val="19"/>
                <w:szCs w:val="19"/>
              </w:rPr>
              <w:t>»</w:t>
            </w:r>
          </w:p>
        </w:tc>
      </w:tr>
    </w:tbl>
    <w:p w:rsidR="00D547FB" w:rsidRDefault="00D547FB" w:rsidP="00D547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7"/>
        <w:gridCol w:w="8942"/>
      </w:tblGrid>
      <w:tr w:rsidR="00D547FB" w:rsidTr="00D547FB">
        <w:trPr>
          <w:trHeight w:hRule="exact" w:val="27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8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Научно-техническая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ДГТУ</w:t>
            </w:r>
            <w:proofErr w:type="spellEnd"/>
          </w:p>
        </w:tc>
      </w:tr>
      <w:tr w:rsidR="00D547FB" w:rsidTr="00D547FB">
        <w:trPr>
          <w:trHeight w:hRule="exact" w:val="277"/>
        </w:trPr>
        <w:tc>
          <w:tcPr>
            <w:tcW w:w="9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7964F6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D547FB">
              <w:rPr>
                <w:b/>
                <w:color w:val="000000"/>
                <w:sz w:val="19"/>
                <w:szCs w:val="19"/>
              </w:rPr>
              <w:t>.3 Перечень информационных технологий</w:t>
            </w:r>
          </w:p>
        </w:tc>
      </w:tr>
      <w:tr w:rsidR="00D547FB" w:rsidTr="00D547FB">
        <w:trPr>
          <w:trHeight w:hRule="exact" w:val="277"/>
        </w:trPr>
        <w:tc>
          <w:tcPr>
            <w:tcW w:w="9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7964F6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D547FB">
              <w:rPr>
                <w:b/>
                <w:color w:val="000000"/>
                <w:sz w:val="19"/>
                <w:szCs w:val="19"/>
              </w:rPr>
              <w:t>.3.1 Перечень программного обеспечения</w:t>
            </w:r>
          </w:p>
        </w:tc>
      </w:tr>
      <w:tr w:rsidR="00D547FB" w:rsidRPr="00827358" w:rsidTr="00D547FB">
        <w:trPr>
          <w:trHeight w:hRule="exact" w:val="277"/>
        </w:trPr>
        <w:tc>
          <w:tcPr>
            <w:tcW w:w="9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7964F6" w:rsidP="00D24BF3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D547FB" w:rsidRPr="00827358">
              <w:rPr>
                <w:b/>
                <w:color w:val="000000"/>
                <w:sz w:val="19"/>
                <w:szCs w:val="19"/>
              </w:rPr>
              <w:t>.3.2 Перечень информационных справочных систем, профессиональные базы данных</w:t>
            </w:r>
          </w:p>
        </w:tc>
      </w:tr>
      <w:tr w:rsidR="00D547FB" w:rsidRPr="00827358" w:rsidTr="00D547FB">
        <w:trPr>
          <w:trHeight w:hRule="exact" w:val="287"/>
        </w:trPr>
        <w:tc>
          <w:tcPr>
            <w:tcW w:w="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82735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827358">
              <w:rPr>
                <w:color w:val="000000"/>
                <w:sz w:val="19"/>
                <w:szCs w:val="19"/>
              </w:rPr>
              <w:t xml:space="preserve"> - СПС "Консультант+"</w:t>
            </w:r>
          </w:p>
        </w:tc>
      </w:tr>
      <w:tr w:rsidR="00D547FB" w:rsidRPr="00827358" w:rsidTr="00D547FB">
        <w:trPr>
          <w:trHeight w:hRule="exact" w:val="287"/>
        </w:trPr>
        <w:tc>
          <w:tcPr>
            <w:tcW w:w="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82735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827358">
              <w:rPr>
                <w:color w:val="000000"/>
                <w:sz w:val="19"/>
                <w:szCs w:val="19"/>
              </w:rPr>
              <w:t xml:space="preserve"> - СПС "Гарант"</w:t>
            </w:r>
          </w:p>
        </w:tc>
      </w:tr>
      <w:tr w:rsidR="00D547FB" w:rsidTr="00D547FB">
        <w:trPr>
          <w:trHeight w:hRule="exact" w:val="287"/>
        </w:trPr>
        <w:tc>
          <w:tcPr>
            <w:tcW w:w="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82735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ecsocman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hse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827358">
              <w:rPr>
                <w:color w:val="000000"/>
                <w:sz w:val="19"/>
                <w:szCs w:val="19"/>
              </w:rPr>
              <w:t xml:space="preserve"> - Федеральный образовательный портал "Экономика. </w:t>
            </w:r>
            <w:r>
              <w:rPr>
                <w:color w:val="000000"/>
                <w:sz w:val="19"/>
                <w:szCs w:val="19"/>
              </w:rPr>
              <w:t>Социология. Менеджмент"</w:t>
            </w:r>
          </w:p>
        </w:tc>
      </w:tr>
      <w:tr w:rsidR="00D547FB" w:rsidRPr="00827358" w:rsidTr="00D547FB">
        <w:trPr>
          <w:trHeight w:hRule="exact" w:val="287"/>
        </w:trPr>
        <w:tc>
          <w:tcPr>
            <w:tcW w:w="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82735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institutiones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827358">
              <w:rPr>
                <w:color w:val="000000"/>
                <w:sz w:val="19"/>
                <w:szCs w:val="19"/>
              </w:rPr>
              <w:t xml:space="preserve"> - Экономический портал</w:t>
            </w:r>
          </w:p>
        </w:tc>
      </w:tr>
      <w:tr w:rsidR="00D547FB" w:rsidRPr="00827358" w:rsidTr="00D547FB">
        <w:trPr>
          <w:trHeight w:hRule="exact" w:val="279"/>
        </w:trPr>
        <w:tc>
          <w:tcPr>
            <w:tcW w:w="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Default="00D547FB" w:rsidP="00D24BF3">
            <w:pPr>
              <w:spacing w:line="240" w:lineRule="auto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8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7FB" w:rsidRPr="00827358" w:rsidRDefault="00D547FB" w:rsidP="00D24BF3">
            <w:pPr>
              <w:spacing w:line="240" w:lineRule="auto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https</w:t>
            </w:r>
            <w:r w:rsidRPr="0082735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rostov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rbc</w:t>
            </w:r>
            <w:r w:rsidRPr="0082735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827358">
              <w:rPr>
                <w:color w:val="000000"/>
                <w:sz w:val="19"/>
                <w:szCs w:val="19"/>
              </w:rPr>
              <w:t xml:space="preserve"> - Информационная система "</w:t>
            </w:r>
            <w:proofErr w:type="spellStart"/>
            <w:r w:rsidRPr="00827358">
              <w:rPr>
                <w:color w:val="000000"/>
                <w:sz w:val="19"/>
                <w:szCs w:val="19"/>
              </w:rPr>
              <w:t>РосБизнесКонсалтинг</w:t>
            </w:r>
            <w:proofErr w:type="spellEnd"/>
            <w:r w:rsidRPr="00827358">
              <w:rPr>
                <w:color w:val="000000"/>
                <w:sz w:val="19"/>
                <w:szCs w:val="19"/>
              </w:rPr>
              <w:t>"</w:t>
            </w:r>
          </w:p>
        </w:tc>
      </w:tr>
    </w:tbl>
    <w:p w:rsidR="00816496" w:rsidRPr="004A714C" w:rsidRDefault="00816496" w:rsidP="00E30802">
      <w:pPr>
        <w:ind w:firstLine="0"/>
      </w:pPr>
    </w:p>
    <w:sectPr w:rsidR="00816496" w:rsidRPr="004A714C" w:rsidSect="003124C8">
      <w:footerReference w:type="default" r:id="rId9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4F0" w:rsidRDefault="00D844F0">
      <w:pPr>
        <w:spacing w:line="240" w:lineRule="auto"/>
      </w:pPr>
      <w:r>
        <w:separator/>
      </w:r>
    </w:p>
  </w:endnote>
  <w:endnote w:type="continuationSeparator" w:id="0">
    <w:p w:rsidR="00D844F0" w:rsidRDefault="00D844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540818"/>
      <w:docPartObj>
        <w:docPartGallery w:val="Page Numbers (Bottom of Page)"/>
        <w:docPartUnique/>
      </w:docPartObj>
    </w:sdtPr>
    <w:sdtEndPr/>
    <w:sdtContent>
      <w:p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7FB">
          <w:rPr>
            <w:noProof/>
          </w:rPr>
          <w:t>9</w:t>
        </w:r>
        <w:r>
          <w:fldChar w:fldCharType="end"/>
        </w:r>
      </w:p>
    </w:sdtContent>
  </w:sdt>
  <w:p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4F6">
          <w:rPr>
            <w:noProof/>
          </w:rPr>
          <w:t>3</w:t>
        </w:r>
        <w:r>
          <w:fldChar w:fldCharType="end"/>
        </w:r>
      </w:p>
    </w:sdtContent>
  </w:sdt>
  <w:p w:rsidR="003124C8" w:rsidRDefault="00D844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4F0" w:rsidRDefault="00D844F0">
      <w:pPr>
        <w:spacing w:line="240" w:lineRule="auto"/>
      </w:pPr>
      <w:r>
        <w:separator/>
      </w:r>
    </w:p>
  </w:footnote>
  <w:footnote w:type="continuationSeparator" w:id="0">
    <w:p w:rsidR="00D844F0" w:rsidRDefault="00D844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270FCA"/>
    <w:rsid w:val="0030330A"/>
    <w:rsid w:val="004A714C"/>
    <w:rsid w:val="004C757C"/>
    <w:rsid w:val="00697DEB"/>
    <w:rsid w:val="0074533B"/>
    <w:rsid w:val="00762234"/>
    <w:rsid w:val="007964F6"/>
    <w:rsid w:val="00816496"/>
    <w:rsid w:val="008C50C2"/>
    <w:rsid w:val="009A351F"/>
    <w:rsid w:val="00AA4126"/>
    <w:rsid w:val="00AF3148"/>
    <w:rsid w:val="00B956D1"/>
    <w:rsid w:val="00C53C05"/>
    <w:rsid w:val="00C65F5F"/>
    <w:rsid w:val="00CA1B1F"/>
    <w:rsid w:val="00D547FB"/>
    <w:rsid w:val="00D844F0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2020-09-13T11:57:00Z</dcterms:created>
  <dcterms:modified xsi:type="dcterms:W3CDTF">2020-09-13T13:52:00Z</dcterms:modified>
</cp:coreProperties>
</file>